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C38BD" w14:textId="77777777" w:rsidR="00945870" w:rsidRDefault="00FB32F9">
      <w:pPr>
        <w:spacing w:after="130" w:line="259" w:lineRule="auto"/>
        <w:ind w:left="66" w:firstLine="0"/>
        <w:jc w:val="center"/>
      </w:pPr>
      <w:r>
        <w:rPr>
          <w:noProof/>
        </w:rPr>
        <w:drawing>
          <wp:inline distT="0" distB="0" distL="0" distR="0" wp14:anchorId="2DE959CC" wp14:editId="6C26B3FC">
            <wp:extent cx="975360" cy="12858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975360" cy="1285875"/>
                    </a:xfrm>
                    <a:prstGeom prst="rect">
                      <a:avLst/>
                    </a:prstGeom>
                  </pic:spPr>
                </pic:pic>
              </a:graphicData>
            </a:graphic>
          </wp:inline>
        </w:drawing>
      </w:r>
      <w:r>
        <w:rPr>
          <w:rFonts w:ascii="Trebuchet MS" w:eastAsia="Trebuchet MS" w:hAnsi="Trebuchet MS" w:cs="Trebuchet MS"/>
          <w:sz w:val="20"/>
        </w:rPr>
        <w:t xml:space="preserve"> </w:t>
      </w:r>
    </w:p>
    <w:p w14:paraId="4409785C" w14:textId="77777777" w:rsidR="00945870" w:rsidRDefault="00FB32F9">
      <w:pPr>
        <w:spacing w:after="0" w:line="259" w:lineRule="auto"/>
        <w:ind w:left="2" w:firstLine="0"/>
        <w:jc w:val="center"/>
      </w:pPr>
      <w:r>
        <w:rPr>
          <w:b/>
          <w:sz w:val="28"/>
        </w:rPr>
        <w:t xml:space="preserve">RCSD Meal/Food Purchase Procedures </w:t>
      </w:r>
    </w:p>
    <w:p w14:paraId="3A5B4920" w14:textId="77777777" w:rsidR="00945870" w:rsidRDefault="00FB32F9">
      <w:pPr>
        <w:spacing w:after="0" w:line="259" w:lineRule="auto"/>
        <w:ind w:left="2" w:firstLine="0"/>
        <w:jc w:val="center"/>
      </w:pPr>
      <w:r>
        <w:rPr>
          <w:b/>
        </w:rPr>
        <w:t xml:space="preserve">(In-District Meals) </w:t>
      </w:r>
    </w:p>
    <w:p w14:paraId="5B111316" w14:textId="77777777" w:rsidR="00945870" w:rsidRDefault="00FB32F9">
      <w:pPr>
        <w:spacing w:after="0" w:line="259" w:lineRule="auto"/>
        <w:ind w:left="58" w:firstLine="0"/>
        <w:jc w:val="center"/>
      </w:pPr>
      <w:r>
        <w:rPr>
          <w:b/>
        </w:rPr>
        <w:t xml:space="preserve"> </w:t>
      </w:r>
    </w:p>
    <w:p w14:paraId="39161141" w14:textId="77777777" w:rsidR="00945870" w:rsidRDefault="00FB32F9">
      <w:pPr>
        <w:spacing w:after="237"/>
      </w:pPr>
      <w:r>
        <w:rPr>
          <w:b/>
        </w:rPr>
        <w:t xml:space="preserve">Purpose:  </w:t>
      </w:r>
      <w:r>
        <w:t xml:space="preserve">These procedures outline the business situations under which employees of the Rochester City School District (RCSD) can purchase food items/meals while working on official business in Rochester/Monroe County. </w:t>
      </w:r>
    </w:p>
    <w:p w14:paraId="1EA0B16C" w14:textId="77777777" w:rsidR="00945870" w:rsidRDefault="00FB32F9">
      <w:pPr>
        <w:pStyle w:val="Heading1"/>
        <w:ind w:left="-5"/>
      </w:pPr>
      <w:r>
        <w:t>Guidelines</w:t>
      </w:r>
      <w:r>
        <w:rPr>
          <w:u w:val="none"/>
        </w:rPr>
        <w:t xml:space="preserve"> </w:t>
      </w:r>
    </w:p>
    <w:p w14:paraId="15C348AA" w14:textId="77777777" w:rsidR="00945870" w:rsidRDefault="00FB32F9">
      <w:pPr>
        <w:spacing w:after="125"/>
      </w:pPr>
      <w:r>
        <w:rPr>
          <w:b/>
        </w:rPr>
        <w:t>Allowable Expenses:</w:t>
      </w:r>
      <w:r>
        <w:t xml:space="preserve">  Generally, the RCSD will not purchase or reimburse the cost of meals or refreshments of any kind except only in reasonable amounts related to the limited circumstances set forth below and only if funds are available in the appropriate budget: </w:t>
      </w:r>
    </w:p>
    <w:p w14:paraId="7FC75FB8" w14:textId="77777777" w:rsidR="00945870" w:rsidRDefault="00FB32F9">
      <w:pPr>
        <w:numPr>
          <w:ilvl w:val="0"/>
          <w:numId w:val="1"/>
        </w:numPr>
        <w:ind w:hanging="360"/>
      </w:pPr>
      <w:r>
        <w:t xml:space="preserve">Grant-funded meals and refreshments where </w:t>
      </w:r>
      <w:r>
        <w:rPr>
          <w:u w:val="single" w:color="000000"/>
        </w:rPr>
        <w:t>the provision of such is specifically provided for in the grant</w:t>
      </w:r>
      <w:r>
        <w:t xml:space="preserve"> </w:t>
      </w:r>
      <w:r>
        <w:rPr>
          <w:u w:val="single" w:color="000000"/>
        </w:rPr>
        <w:t>agreement</w:t>
      </w:r>
      <w:r>
        <w:t xml:space="preserve"> (i.e. parental involvement meetings, student events, professional development, etc.).   </w:t>
      </w:r>
    </w:p>
    <w:p w14:paraId="1EB01E5E" w14:textId="77777777" w:rsidR="00945870" w:rsidRDefault="00FB32F9">
      <w:pPr>
        <w:numPr>
          <w:ilvl w:val="0"/>
          <w:numId w:val="1"/>
        </w:numPr>
        <w:ind w:hanging="360"/>
      </w:pPr>
      <w:r>
        <w:t xml:space="preserve">Meals provided to RCSD employees during emergency situations (i.e. major fire/water emergencies, natural </w:t>
      </w:r>
    </w:p>
    <w:p w14:paraId="6589ADD3" w14:textId="77777777" w:rsidR="00945870" w:rsidRDefault="00FB32F9">
      <w:pPr>
        <w:ind w:left="731"/>
      </w:pPr>
      <w:r>
        <w:t xml:space="preserve">disasters, etc.) </w:t>
      </w:r>
    </w:p>
    <w:p w14:paraId="6DDE61E6" w14:textId="77777777" w:rsidR="00945870" w:rsidRDefault="00FB32F9">
      <w:pPr>
        <w:numPr>
          <w:ilvl w:val="0"/>
          <w:numId w:val="1"/>
        </w:numPr>
        <w:ind w:hanging="360"/>
      </w:pPr>
      <w:r>
        <w:t>Limited instances necessitated by business circumstances subject to the</w:t>
      </w:r>
      <w:r>
        <w:rPr>
          <w:u w:val="single" w:color="000000"/>
        </w:rPr>
        <w:t xml:space="preserve"> express advance written approval</w:t>
      </w:r>
      <w:r>
        <w:t xml:space="preserve"> of either the Chief Financial Officer or the Chief of Staff for reasons other than those set forth above </w:t>
      </w:r>
    </w:p>
    <w:p w14:paraId="075EA420" w14:textId="77777777" w:rsidR="00945870" w:rsidRDefault="00FB32F9">
      <w:pPr>
        <w:numPr>
          <w:ilvl w:val="0"/>
          <w:numId w:val="1"/>
        </w:numPr>
        <w:ind w:hanging="360"/>
      </w:pPr>
      <w:r>
        <w:t xml:space="preserve">Meals incurred on official business travel outside of Rochester/Monroe County (see the RCSD Travel Meal Procedures) </w:t>
      </w:r>
    </w:p>
    <w:p w14:paraId="54CB24EF" w14:textId="77777777" w:rsidR="00945870" w:rsidRDefault="00FB32F9">
      <w:pPr>
        <w:numPr>
          <w:ilvl w:val="0"/>
          <w:numId w:val="1"/>
        </w:numPr>
        <w:spacing w:after="115"/>
        <w:ind w:hanging="360"/>
      </w:pPr>
      <w:r>
        <w:t xml:space="preserve">Any expenditures approved under the above circumstances shall no exceed the maximum allowance for in-District meals (as of February 2023:  Breakfast - $11, Lunch - $19, Dinner - $39, per person), unless specifically stated under the provisions of a grant. </w:t>
      </w:r>
    </w:p>
    <w:p w14:paraId="1054BF57" w14:textId="77777777" w:rsidR="00945870" w:rsidRDefault="00FB32F9">
      <w:pPr>
        <w:spacing w:after="121"/>
        <w:ind w:left="11"/>
      </w:pPr>
      <w:r>
        <w:rPr>
          <w:b/>
        </w:rPr>
        <w:t>Disallowable Expenses:</w:t>
      </w:r>
      <w:r>
        <w:t xml:space="preserve">  The following expenses will not be paid for or reimbursed by the RCSD: </w:t>
      </w:r>
    </w:p>
    <w:p w14:paraId="1E3D3045" w14:textId="77777777" w:rsidR="00945870" w:rsidRDefault="00FB32F9">
      <w:pPr>
        <w:numPr>
          <w:ilvl w:val="0"/>
          <w:numId w:val="1"/>
        </w:numPr>
        <w:ind w:hanging="360"/>
      </w:pPr>
      <w:r>
        <w:t xml:space="preserve">Lunch for RCSD employees not specifically permitted based on the allowable meal expenses shown above </w:t>
      </w:r>
    </w:p>
    <w:p w14:paraId="2C717B5E" w14:textId="77777777" w:rsidR="00945870" w:rsidRDefault="00FB32F9">
      <w:pPr>
        <w:numPr>
          <w:ilvl w:val="0"/>
          <w:numId w:val="1"/>
        </w:numPr>
        <w:ind w:hanging="360"/>
      </w:pPr>
      <w:r>
        <w:t xml:space="preserve">Alcoholic beverages </w:t>
      </w:r>
    </w:p>
    <w:p w14:paraId="189696C0" w14:textId="77777777" w:rsidR="00945870" w:rsidRDefault="00FB32F9">
      <w:pPr>
        <w:numPr>
          <w:ilvl w:val="0"/>
          <w:numId w:val="1"/>
        </w:numPr>
        <w:ind w:hanging="360"/>
      </w:pPr>
      <w:r>
        <w:t xml:space="preserve">Meals for family or guests not specifically categorized under the allowable meal expenses shown above </w:t>
      </w:r>
    </w:p>
    <w:p w14:paraId="6421EFCE" w14:textId="77777777" w:rsidR="00945870" w:rsidRDefault="00FB32F9">
      <w:pPr>
        <w:numPr>
          <w:ilvl w:val="0"/>
          <w:numId w:val="1"/>
        </w:numPr>
        <w:ind w:hanging="360"/>
      </w:pPr>
      <w:r>
        <w:t xml:space="preserve">Any other personal employee expenditure for meals, entertainment or related purposes </w:t>
      </w:r>
    </w:p>
    <w:p w14:paraId="04F9AA8D" w14:textId="77777777" w:rsidR="00945870" w:rsidRDefault="00FB32F9">
      <w:pPr>
        <w:numPr>
          <w:ilvl w:val="0"/>
          <w:numId w:val="1"/>
        </w:numPr>
        <w:spacing w:after="234"/>
        <w:ind w:hanging="360"/>
      </w:pPr>
      <w:r>
        <w:t xml:space="preserve">Meals/food expenses for students (considered by the NYSED to be a gift of public funds; all students are now entitled to free meals under Federal guidelines) unless permitted under one of the circumstances above </w:t>
      </w:r>
    </w:p>
    <w:p w14:paraId="7910883C" w14:textId="77777777" w:rsidR="00945870" w:rsidRPr="00F51CA5" w:rsidRDefault="00FB32F9">
      <w:pPr>
        <w:pStyle w:val="Heading1"/>
        <w:ind w:left="-5"/>
      </w:pPr>
      <w:r w:rsidRPr="00F51CA5">
        <w:t>Approval Authority</w:t>
      </w:r>
      <w:r w:rsidRPr="00F51CA5">
        <w:rPr>
          <w:u w:val="none"/>
        </w:rPr>
        <w:t xml:space="preserve"> </w:t>
      </w:r>
    </w:p>
    <w:p w14:paraId="0A475BAA" w14:textId="77777777" w:rsidR="00945870" w:rsidRDefault="00FB32F9">
      <w:r w:rsidRPr="00F51CA5">
        <w:t>Administrators at the level of Director/Principal or Chief have initial approval authority for meal expenditures, which must be submitted to the Chief Financial Officer or Chief of Staff for review and written approval, if not a grant-funded, emergency or business travel circumstance.  Grant-funded meal expenditures also require additional approval from the grant monitor.  A purchase requisition must be submitted that includes: the date, time, and purpose of the meeting at which the food was consumed, as well as a list of attendees.  When the invoice is submitted to Accounts Payable to pay a vendor, the purchase order number must be referenced on the invoice.</w:t>
      </w:r>
      <w:r>
        <w:t xml:space="preserve"> </w:t>
      </w:r>
    </w:p>
    <w:p w14:paraId="6E943197" w14:textId="77777777" w:rsidR="00945870" w:rsidRDefault="00FB32F9">
      <w:pPr>
        <w:spacing w:after="0" w:line="259" w:lineRule="auto"/>
        <w:ind w:left="0" w:firstLine="0"/>
      </w:pPr>
      <w:r>
        <w:t xml:space="preserve"> </w:t>
      </w:r>
    </w:p>
    <w:p w14:paraId="463F6DD5" w14:textId="77777777" w:rsidR="00945870" w:rsidRDefault="00FB32F9">
      <w:pPr>
        <w:pStyle w:val="Heading1"/>
        <w:ind w:left="-5"/>
      </w:pPr>
      <w:r>
        <w:t>Externally Funded Expenses</w:t>
      </w:r>
      <w:r>
        <w:rPr>
          <w:u w:val="none"/>
        </w:rPr>
        <w:t xml:space="preserve"> </w:t>
      </w:r>
    </w:p>
    <w:p w14:paraId="0A656783" w14:textId="77777777" w:rsidR="00945870" w:rsidRDefault="00FB32F9">
      <w:r>
        <w:t xml:space="preserve">Outside entities or individuals that wish to provide meals or refreshments for RCSD personnel or functions may do so but </w:t>
      </w:r>
      <w:r>
        <w:rPr>
          <w:u w:val="single" w:color="000000"/>
        </w:rPr>
        <w:t>must pay the vendor directly</w:t>
      </w:r>
      <w:r>
        <w:t xml:space="preserve"> and such occurrences must not violate applicable law or the RCSD Code of Ethics policy.  The District cannot receive external funding to pay vendors for meals or refreshments, </w:t>
      </w:r>
      <w:r>
        <w:rPr>
          <w:u w:val="single" w:color="000000"/>
        </w:rPr>
        <w:t>unless the donor/trustee</w:t>
      </w:r>
      <w:r>
        <w:t xml:space="preserve"> </w:t>
      </w:r>
      <w:r>
        <w:rPr>
          <w:u w:val="single" w:color="000000"/>
        </w:rPr>
        <w:t>specifically states in writing that the funds are intended for this specific purpose at the time the donation is made</w:t>
      </w:r>
      <w:r>
        <w:t xml:space="preserve">. </w:t>
      </w:r>
    </w:p>
    <w:p w14:paraId="6F40CBFA" w14:textId="77777777" w:rsidR="00945870" w:rsidRDefault="00FB32F9">
      <w:pPr>
        <w:spacing w:after="0" w:line="259" w:lineRule="auto"/>
        <w:ind w:left="0" w:firstLine="0"/>
      </w:pPr>
      <w:r>
        <w:t xml:space="preserve"> </w:t>
      </w:r>
    </w:p>
    <w:p w14:paraId="23DE2949" w14:textId="77777777" w:rsidR="00945870" w:rsidRDefault="00FB32F9">
      <w:pPr>
        <w:spacing w:after="56" w:line="259" w:lineRule="auto"/>
        <w:ind w:left="-28" w:right="-31" w:firstLine="0"/>
      </w:pPr>
      <w:r>
        <w:rPr>
          <w:rFonts w:ascii="Calibri" w:eastAsia="Calibri" w:hAnsi="Calibri" w:cs="Calibri"/>
          <w:noProof/>
        </w:rPr>
        <mc:AlternateContent>
          <mc:Choice Requires="wpg">
            <w:drawing>
              <wp:inline distT="0" distB="0" distL="0" distR="0" wp14:anchorId="23D3C954" wp14:editId="0EDF5BE2">
                <wp:extent cx="6894576" cy="56388"/>
                <wp:effectExtent l="0" t="0" r="0" b="0"/>
                <wp:docPr id="1663" name="Group 1663"/>
                <wp:cNvGraphicFramePr/>
                <a:graphic xmlns:a="http://schemas.openxmlformats.org/drawingml/2006/main">
                  <a:graphicData uri="http://schemas.microsoft.com/office/word/2010/wordprocessingGroup">
                    <wpg:wgp>
                      <wpg:cNvGrpSpPr/>
                      <wpg:grpSpPr>
                        <a:xfrm>
                          <a:off x="0" y="0"/>
                          <a:ext cx="6894576" cy="56388"/>
                          <a:chOff x="0" y="0"/>
                          <a:chExt cx="6894576" cy="56388"/>
                        </a:xfrm>
                      </wpg:grpSpPr>
                      <wps:wsp>
                        <wps:cNvPr id="2276" name="Shape 2276"/>
                        <wps:cNvSpPr/>
                        <wps:spPr>
                          <a:xfrm>
                            <a:off x="0" y="0"/>
                            <a:ext cx="6894576" cy="38100"/>
                          </a:xfrm>
                          <a:custGeom>
                            <a:avLst/>
                            <a:gdLst/>
                            <a:ahLst/>
                            <a:cxnLst/>
                            <a:rect l="0" t="0" r="0" b="0"/>
                            <a:pathLst>
                              <a:path w="6894576" h="38100">
                                <a:moveTo>
                                  <a:pt x="0" y="0"/>
                                </a:moveTo>
                                <a:lnTo>
                                  <a:pt x="6894576" y="0"/>
                                </a:lnTo>
                                <a:lnTo>
                                  <a:pt x="6894576"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2277" name="Shape 2277"/>
                        <wps:cNvSpPr/>
                        <wps:spPr>
                          <a:xfrm>
                            <a:off x="0" y="47244"/>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inline>
            </w:drawing>
          </mc:Choice>
          <mc:Fallback>
            <w:pict>
              <v:group w14:anchorId="4B75593F" id="Group 1663" o:spid="_x0000_s1026" style="width:542.9pt;height:4.45pt;mso-position-horizontal-relative:char;mso-position-vertical-relative:line" coordsize="6894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">
                <v:shape id="Shape 2276" o:spid="_x0000_s1027" style="position:absolute;width:68945;height:381;visibility:visible;mso-wrap-style:square;v-text-anchor:top" coordsize="68945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" path="m,l6894576,r,38100l,38100,,e" fillcolor="#612322" stroked="f" strokeweight="0">
                  <v:stroke miterlimit="83231f" joinstyle="miter"/>
                  <v:path arrowok="t" textboxrect="0,0,6894576,38100"/>
                </v:shape>
                <v:shape id="Shape 2277" o:spid="_x0000_s1028" style="position:absolute;top:472;width:68945;height:91;visibility:visible;mso-wrap-style:square;v-text-anchor:top" coordsize="6894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" path="m,l6894576,r,9144l,9144,,e" fillcolor="#612322" stroked="f" strokeweight="0">
                  <v:stroke miterlimit="83231f" joinstyle="miter"/>
                  <v:path arrowok="t" textboxrect="0,0,6894576,9144"/>
                </v:shape>
                <w10:anchorlock/>
              </v:group>
            </w:pict>
          </mc:Fallback>
        </mc:AlternateContent>
      </w:r>
    </w:p>
    <w:p w14:paraId="1CE2ABEA" w14:textId="77777777" w:rsidR="00945870" w:rsidRDefault="00FB32F9">
      <w:pPr>
        <w:tabs>
          <w:tab w:val="right" w:pos="10798"/>
        </w:tabs>
        <w:spacing w:after="3" w:line="259" w:lineRule="auto"/>
        <w:ind w:left="-15" w:right="-15" w:firstLine="0"/>
      </w:pPr>
      <w:r>
        <w:rPr>
          <w:rFonts w:ascii="Cambria" w:eastAsia="Cambria" w:hAnsi="Cambria" w:cs="Cambria"/>
          <w:sz w:val="20"/>
        </w:rPr>
        <w:lastRenderedPageBreak/>
        <w:t xml:space="preserve">Effective </w:t>
      </w:r>
      <w:r w:rsidR="00CE055B">
        <w:rPr>
          <w:rFonts w:ascii="Cambria" w:eastAsia="Cambria" w:hAnsi="Cambria" w:cs="Cambria"/>
          <w:sz w:val="20"/>
        </w:rPr>
        <w:t>February</w:t>
      </w:r>
      <w:r>
        <w:rPr>
          <w:rFonts w:ascii="Cambria" w:eastAsia="Cambria" w:hAnsi="Cambria" w:cs="Cambria"/>
          <w:sz w:val="20"/>
        </w:rPr>
        <w:t xml:space="preserve"> 1, 20</w:t>
      </w:r>
      <w:r w:rsidR="00CE055B">
        <w:rPr>
          <w:rFonts w:ascii="Cambria" w:eastAsia="Cambria" w:hAnsi="Cambria" w:cs="Cambria"/>
          <w:sz w:val="20"/>
        </w:rPr>
        <w:t>23</w:t>
      </w:r>
      <w:r>
        <w:rPr>
          <w:rFonts w:ascii="Cambria" w:eastAsia="Cambria" w:hAnsi="Cambria" w:cs="Cambria"/>
          <w:sz w:val="20"/>
        </w:rPr>
        <w:t xml:space="preserve"> </w:t>
      </w:r>
      <w:r>
        <w:rPr>
          <w:rFonts w:ascii="Cambria" w:eastAsia="Cambria" w:hAnsi="Cambria" w:cs="Cambria"/>
          <w:sz w:val="20"/>
        </w:rPr>
        <w:tab/>
        <w:t xml:space="preserve">Page 1 </w:t>
      </w:r>
    </w:p>
    <w:p w14:paraId="3EE9F40B" w14:textId="77777777" w:rsidR="00945870" w:rsidRDefault="00FB32F9">
      <w:pPr>
        <w:spacing w:after="0" w:line="259" w:lineRule="auto"/>
        <w:ind w:left="0" w:firstLine="0"/>
      </w:pPr>
      <w:r>
        <w:rPr>
          <w:sz w:val="20"/>
        </w:rPr>
        <w:t xml:space="preserve"> </w:t>
      </w:r>
    </w:p>
    <w:p w14:paraId="30442124" w14:textId="77777777" w:rsidR="00945870" w:rsidRDefault="00FB32F9">
      <w:pPr>
        <w:spacing w:after="0" w:line="259" w:lineRule="auto"/>
        <w:ind w:left="0" w:firstLine="0"/>
      </w:pPr>
      <w:r>
        <w:t xml:space="preserve"> </w:t>
      </w:r>
    </w:p>
    <w:p w14:paraId="40B81F12" w14:textId="77777777" w:rsidR="00945870" w:rsidRDefault="00FB32F9">
      <w:pPr>
        <w:spacing w:after="0" w:line="259" w:lineRule="auto"/>
        <w:ind w:left="0" w:firstLine="0"/>
      </w:pPr>
      <w:r>
        <w:t xml:space="preserve"> </w:t>
      </w:r>
    </w:p>
    <w:p w14:paraId="728CC9D5" w14:textId="77777777" w:rsidR="00945870" w:rsidRDefault="00FB32F9">
      <w:pPr>
        <w:spacing w:after="0" w:line="259" w:lineRule="auto"/>
        <w:ind w:left="0" w:firstLine="0"/>
      </w:pPr>
      <w:r>
        <w:t xml:space="preserve"> </w:t>
      </w:r>
    </w:p>
    <w:p w14:paraId="1E27D77C" w14:textId="77777777" w:rsidR="00945870" w:rsidRDefault="00FB32F9">
      <w:pPr>
        <w:spacing w:after="0" w:line="259" w:lineRule="auto"/>
        <w:ind w:left="58" w:firstLine="0"/>
        <w:jc w:val="center"/>
      </w:pPr>
      <w:r>
        <w:rPr>
          <w:b/>
        </w:rPr>
        <w:t xml:space="preserve"> </w:t>
      </w:r>
    </w:p>
    <w:p w14:paraId="7982611F" w14:textId="77777777" w:rsidR="00945870" w:rsidRDefault="00FB32F9">
      <w:pPr>
        <w:spacing w:after="69" w:line="259" w:lineRule="auto"/>
        <w:ind w:left="58" w:firstLine="0"/>
        <w:jc w:val="center"/>
      </w:pPr>
      <w:r>
        <w:rPr>
          <w:b/>
        </w:rPr>
        <w:t xml:space="preserve"> </w:t>
      </w:r>
    </w:p>
    <w:p w14:paraId="19D4E17E" w14:textId="77777777" w:rsidR="00945870" w:rsidRDefault="00FB32F9">
      <w:pPr>
        <w:pStyle w:val="Heading1"/>
        <w:spacing w:after="0"/>
        <w:ind w:left="0" w:right="1" w:firstLine="0"/>
        <w:jc w:val="center"/>
      </w:pPr>
      <w:r>
        <w:rPr>
          <w:sz w:val="32"/>
          <w:u w:val="none"/>
        </w:rPr>
        <w:t xml:space="preserve">Food Purchases – “Dos &amp; Don’ts” </w:t>
      </w:r>
    </w:p>
    <w:p w14:paraId="16DB62BC" w14:textId="77777777" w:rsidR="00945870" w:rsidRDefault="00FB32F9">
      <w:pPr>
        <w:spacing w:after="0" w:line="259" w:lineRule="auto"/>
        <w:ind w:left="83" w:firstLine="0"/>
        <w:jc w:val="center"/>
      </w:pPr>
      <w:r>
        <w:rPr>
          <w:b/>
          <w:sz w:val="32"/>
        </w:rPr>
        <w:t xml:space="preserve"> </w:t>
      </w:r>
    </w:p>
    <w:p w14:paraId="79679678" w14:textId="77777777" w:rsidR="00945870" w:rsidRDefault="00FB32F9">
      <w:pPr>
        <w:spacing w:after="0" w:line="259" w:lineRule="auto"/>
        <w:ind w:left="83" w:firstLine="0"/>
        <w:jc w:val="center"/>
      </w:pPr>
      <w:r>
        <w:rPr>
          <w:b/>
          <w:sz w:val="32"/>
        </w:rPr>
        <w:t xml:space="preserve"> </w:t>
      </w:r>
    </w:p>
    <w:p w14:paraId="16046113" w14:textId="77777777" w:rsidR="00945870" w:rsidRDefault="00FB32F9">
      <w:pPr>
        <w:tabs>
          <w:tab w:val="center" w:pos="721"/>
          <w:tab w:val="center" w:pos="1441"/>
          <w:tab w:val="center" w:pos="2560"/>
          <w:tab w:val="center" w:pos="3601"/>
          <w:tab w:val="center" w:pos="4321"/>
          <w:tab w:val="center" w:pos="5041"/>
          <w:tab w:val="center" w:pos="5762"/>
          <w:tab w:val="center" w:pos="6482"/>
          <w:tab w:val="center" w:pos="8036"/>
        </w:tabs>
        <w:spacing w:after="0" w:line="259" w:lineRule="auto"/>
        <w:ind w:left="0" w:firstLine="0"/>
      </w:pPr>
      <w:r>
        <w:rPr>
          <w:b/>
          <w:sz w:val="32"/>
        </w:rPr>
        <w:t xml:space="preserve"> </w:t>
      </w:r>
      <w:r>
        <w:rPr>
          <w:b/>
          <w:sz w:val="32"/>
        </w:rPr>
        <w:tab/>
        <w:t xml:space="preserve"> </w:t>
      </w:r>
      <w:r>
        <w:rPr>
          <w:b/>
          <w:sz w:val="32"/>
        </w:rPr>
        <w:tab/>
        <w:t xml:space="preserve"> </w:t>
      </w:r>
      <w:r>
        <w:rPr>
          <w:b/>
          <w:sz w:val="32"/>
        </w:rPr>
        <w:tab/>
        <w:t xml:space="preserve">“DO”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proofErr w:type="gramStart"/>
      <w:r>
        <w:rPr>
          <w:b/>
          <w:sz w:val="32"/>
        </w:rPr>
        <w:t xml:space="preserve">   “</w:t>
      </w:r>
      <w:proofErr w:type="gramEnd"/>
      <w:r>
        <w:rPr>
          <w:b/>
          <w:sz w:val="32"/>
        </w:rPr>
        <w:t xml:space="preserve">DON’T” </w:t>
      </w:r>
    </w:p>
    <w:p w14:paraId="410CC389" w14:textId="77777777" w:rsidR="00945870" w:rsidRDefault="00FB32F9">
      <w:pPr>
        <w:spacing w:after="0" w:line="259" w:lineRule="auto"/>
        <w:ind w:left="58" w:firstLine="0"/>
        <w:jc w:val="center"/>
      </w:pPr>
      <w:r>
        <w:rPr>
          <w:b/>
        </w:rPr>
        <w:t xml:space="preserve"> </w:t>
      </w:r>
    </w:p>
    <w:tbl>
      <w:tblPr>
        <w:tblStyle w:val="TableGrid"/>
        <w:tblW w:w="11016" w:type="dxa"/>
        <w:tblInd w:w="-108" w:type="dxa"/>
        <w:tblCellMar>
          <w:left w:w="108" w:type="dxa"/>
          <w:right w:w="77" w:type="dxa"/>
        </w:tblCellMar>
        <w:tblLook w:val="04A0" w:firstRow="1" w:lastRow="0" w:firstColumn="1" w:lastColumn="0" w:noHBand="0" w:noVBand="1"/>
      </w:tblPr>
      <w:tblGrid>
        <w:gridCol w:w="5508"/>
        <w:gridCol w:w="5508"/>
      </w:tblGrid>
      <w:tr w:rsidR="00945870" w14:paraId="1E7382AE" w14:textId="77777777">
        <w:trPr>
          <w:trHeight w:val="1274"/>
        </w:trPr>
        <w:tc>
          <w:tcPr>
            <w:tcW w:w="5508" w:type="dxa"/>
            <w:tcBorders>
              <w:top w:val="single" w:sz="4" w:space="0" w:color="000000"/>
              <w:left w:val="single" w:sz="4" w:space="0" w:color="000000"/>
              <w:bottom w:val="single" w:sz="4" w:space="0" w:color="000000"/>
              <w:right w:val="single" w:sz="4" w:space="0" w:color="000000"/>
            </w:tcBorders>
          </w:tcPr>
          <w:p w14:paraId="21B62A00" w14:textId="77777777" w:rsidR="00945870" w:rsidRDefault="00FB32F9">
            <w:pPr>
              <w:spacing w:after="0" w:line="259" w:lineRule="auto"/>
              <w:ind w:left="0" w:firstLine="0"/>
            </w:pPr>
            <w:r>
              <w:rPr>
                <w:i/>
              </w:rPr>
              <w:t>Do</w:t>
            </w:r>
            <w:r>
              <w:t xml:space="preserve"> utilize PTAs/PTOs, booster clubs and SAF/EAA clubs to provide snacks and meals for students before/during extracurricular activities or to provide meals for official award ceremonies outside of school hours, such as Athletic Banquets. </w:t>
            </w:r>
          </w:p>
        </w:tc>
        <w:tc>
          <w:tcPr>
            <w:tcW w:w="5508" w:type="dxa"/>
            <w:tcBorders>
              <w:top w:val="single" w:sz="4" w:space="0" w:color="000000"/>
              <w:left w:val="single" w:sz="4" w:space="0" w:color="000000"/>
              <w:bottom w:val="single" w:sz="4" w:space="0" w:color="000000"/>
              <w:right w:val="single" w:sz="4" w:space="0" w:color="000000"/>
            </w:tcBorders>
          </w:tcPr>
          <w:p w14:paraId="6476038F" w14:textId="77777777" w:rsidR="00945870" w:rsidRDefault="00FB32F9">
            <w:pPr>
              <w:spacing w:after="0" w:line="259" w:lineRule="auto"/>
              <w:ind w:left="0" w:firstLine="0"/>
            </w:pPr>
            <w:r>
              <w:rPr>
                <w:i/>
              </w:rPr>
              <w:t>Don’t</w:t>
            </w:r>
            <w:r>
              <w:t xml:space="preserve"> issue blanket orders (i.e. Wegmans, </w:t>
            </w:r>
            <w:proofErr w:type="spellStart"/>
            <w:r>
              <w:t>Salvatores</w:t>
            </w:r>
            <w:proofErr w:type="spellEnd"/>
            <w:r>
              <w:t xml:space="preserve">) for purchases of food, with the exception of culinary arts programs or as specified in a grant or by a donor. </w:t>
            </w:r>
          </w:p>
        </w:tc>
      </w:tr>
      <w:tr w:rsidR="00945870" w14:paraId="7CDAF16F" w14:textId="77777777">
        <w:trPr>
          <w:trHeight w:val="1781"/>
        </w:trPr>
        <w:tc>
          <w:tcPr>
            <w:tcW w:w="5508" w:type="dxa"/>
            <w:tcBorders>
              <w:top w:val="single" w:sz="4" w:space="0" w:color="000000"/>
              <w:left w:val="single" w:sz="4" w:space="0" w:color="000000"/>
              <w:bottom w:val="single" w:sz="4" w:space="0" w:color="000000"/>
              <w:right w:val="single" w:sz="4" w:space="0" w:color="000000"/>
            </w:tcBorders>
          </w:tcPr>
          <w:p w14:paraId="50691F1B" w14:textId="77777777" w:rsidR="00945870" w:rsidRDefault="00FB32F9">
            <w:pPr>
              <w:spacing w:after="0" w:line="259" w:lineRule="auto"/>
              <w:ind w:left="0" w:firstLine="0"/>
            </w:pPr>
            <w:r>
              <w:rPr>
                <w:i/>
              </w:rPr>
              <w:t>Do</w:t>
            </w:r>
            <w:r>
              <w:t xml:space="preserve"> utilize the District’s Food Service Department and curriculum programs (i.e. Cafes) to provide refreshments whenever possible. </w:t>
            </w:r>
          </w:p>
        </w:tc>
        <w:tc>
          <w:tcPr>
            <w:tcW w:w="5508" w:type="dxa"/>
            <w:tcBorders>
              <w:top w:val="single" w:sz="4" w:space="0" w:color="000000"/>
              <w:left w:val="single" w:sz="4" w:space="0" w:color="000000"/>
              <w:bottom w:val="single" w:sz="4" w:space="0" w:color="000000"/>
              <w:right w:val="single" w:sz="4" w:space="0" w:color="000000"/>
            </w:tcBorders>
          </w:tcPr>
          <w:p w14:paraId="6BDB3D1A" w14:textId="77777777" w:rsidR="00945870" w:rsidRDefault="00FB32F9">
            <w:pPr>
              <w:spacing w:line="237" w:lineRule="auto"/>
              <w:ind w:left="0" w:firstLine="0"/>
            </w:pPr>
            <w:r>
              <w:rPr>
                <w:i/>
              </w:rPr>
              <w:t xml:space="preserve">Don’t </w:t>
            </w:r>
            <w:r>
              <w:t xml:space="preserve">use funds from A 1300 subclass (School Based Planning) to purchase food – A 1300 funds may be used to support extracurricular clubs through the payment of contractually negotiated stipends or materials and supplies for the club that can be purchased in accordance with normal District purchasing policies. </w:t>
            </w:r>
          </w:p>
          <w:p w14:paraId="54C3F6AB" w14:textId="77777777" w:rsidR="00945870" w:rsidRDefault="00FB32F9">
            <w:pPr>
              <w:spacing w:after="0" w:line="259" w:lineRule="auto"/>
              <w:ind w:left="0" w:firstLine="0"/>
            </w:pPr>
            <w:r>
              <w:rPr>
                <w:b/>
              </w:rPr>
              <w:t xml:space="preserve"> </w:t>
            </w:r>
          </w:p>
        </w:tc>
      </w:tr>
      <w:tr w:rsidR="00945870" w14:paraId="4FD055A5" w14:textId="77777777">
        <w:trPr>
          <w:trHeight w:val="1529"/>
        </w:trPr>
        <w:tc>
          <w:tcPr>
            <w:tcW w:w="5508" w:type="dxa"/>
            <w:tcBorders>
              <w:top w:val="single" w:sz="4" w:space="0" w:color="000000"/>
              <w:left w:val="single" w:sz="4" w:space="0" w:color="000000"/>
              <w:bottom w:val="single" w:sz="4" w:space="0" w:color="000000"/>
              <w:right w:val="single" w:sz="4" w:space="0" w:color="000000"/>
            </w:tcBorders>
          </w:tcPr>
          <w:p w14:paraId="766D1E11" w14:textId="77777777" w:rsidR="00945870" w:rsidRDefault="00FB32F9">
            <w:pPr>
              <w:spacing w:after="0" w:line="259" w:lineRule="auto"/>
              <w:ind w:left="0" w:firstLine="0"/>
            </w:pPr>
            <w:r>
              <w:rPr>
                <w:i/>
              </w:rPr>
              <w:t>Do</w:t>
            </w:r>
            <w:r>
              <w:t xml:space="preserve"> encourage donors and individuals to purchase food directly, whenever possible. </w:t>
            </w:r>
          </w:p>
        </w:tc>
        <w:tc>
          <w:tcPr>
            <w:tcW w:w="5508" w:type="dxa"/>
            <w:tcBorders>
              <w:top w:val="single" w:sz="4" w:space="0" w:color="000000"/>
              <w:left w:val="single" w:sz="4" w:space="0" w:color="000000"/>
              <w:bottom w:val="single" w:sz="4" w:space="0" w:color="000000"/>
              <w:right w:val="single" w:sz="4" w:space="0" w:color="000000"/>
            </w:tcBorders>
          </w:tcPr>
          <w:p w14:paraId="53275DFF" w14:textId="77777777" w:rsidR="00945870" w:rsidRDefault="00FB32F9">
            <w:pPr>
              <w:spacing w:after="4" w:line="237" w:lineRule="auto"/>
              <w:ind w:left="0" w:right="13" w:firstLine="0"/>
            </w:pPr>
            <w:r>
              <w:rPr>
                <w:i/>
              </w:rPr>
              <w:t xml:space="preserve">Don’t </w:t>
            </w:r>
            <w:r>
              <w:t xml:space="preserve">use donations/trusts to make food purchases, unless the donor specifically states in writing that the funds are intended for this specific purpose at the time the donation is made.  Have the donor purchase the food directly, whenever possible. </w:t>
            </w:r>
          </w:p>
          <w:p w14:paraId="284DE82A" w14:textId="77777777" w:rsidR="00945870" w:rsidRDefault="00FB32F9">
            <w:pPr>
              <w:spacing w:after="0" w:line="259" w:lineRule="auto"/>
              <w:ind w:left="0" w:firstLine="0"/>
            </w:pPr>
            <w:r>
              <w:rPr>
                <w:b/>
              </w:rPr>
              <w:t xml:space="preserve"> </w:t>
            </w:r>
          </w:p>
        </w:tc>
      </w:tr>
    </w:tbl>
    <w:p w14:paraId="0672723D" w14:textId="77777777" w:rsidR="00945870" w:rsidRDefault="00FB32F9">
      <w:pPr>
        <w:spacing w:after="0" w:line="259" w:lineRule="auto"/>
        <w:ind w:left="0" w:firstLine="0"/>
      </w:pPr>
      <w:r>
        <w:rPr>
          <w:b/>
        </w:rPr>
        <w:t xml:space="preserve"> </w:t>
      </w:r>
    </w:p>
    <w:p w14:paraId="6F9532B9" w14:textId="77777777" w:rsidR="00945870" w:rsidRDefault="00FB32F9">
      <w:pPr>
        <w:spacing w:after="0" w:line="259" w:lineRule="auto"/>
        <w:ind w:left="720" w:firstLine="0"/>
      </w:pPr>
      <w:r>
        <w:t xml:space="preserve"> </w:t>
      </w:r>
    </w:p>
    <w:p w14:paraId="49C7D59F" w14:textId="77777777" w:rsidR="00945870" w:rsidRDefault="00FB32F9">
      <w:pPr>
        <w:spacing w:after="0" w:line="259" w:lineRule="auto"/>
        <w:ind w:left="0" w:firstLine="0"/>
      </w:pPr>
      <w:r>
        <w:t xml:space="preserve"> </w:t>
      </w:r>
    </w:p>
    <w:p w14:paraId="125B1CB1" w14:textId="77777777" w:rsidR="00945870" w:rsidRDefault="00FB32F9">
      <w:pPr>
        <w:spacing w:after="0" w:line="259" w:lineRule="auto"/>
        <w:ind w:left="0" w:firstLine="0"/>
      </w:pPr>
      <w:r>
        <w:t xml:space="preserve"> </w:t>
      </w:r>
    </w:p>
    <w:p w14:paraId="4C68634E" w14:textId="77777777" w:rsidR="00945870" w:rsidRDefault="00FB32F9">
      <w:pPr>
        <w:spacing w:after="4930" w:line="259" w:lineRule="auto"/>
        <w:ind w:left="720" w:firstLine="0"/>
      </w:pPr>
      <w:r>
        <w:rPr>
          <w:sz w:val="24"/>
        </w:rPr>
        <w:t xml:space="preserve"> </w:t>
      </w:r>
    </w:p>
    <w:p w14:paraId="5BB6793B" w14:textId="77777777" w:rsidR="00945870" w:rsidRDefault="00FB32F9">
      <w:pPr>
        <w:spacing w:after="59" w:line="259" w:lineRule="auto"/>
        <w:ind w:left="-28" w:right="-31" w:firstLine="0"/>
      </w:pPr>
      <w:r>
        <w:rPr>
          <w:rFonts w:ascii="Calibri" w:eastAsia="Calibri" w:hAnsi="Calibri" w:cs="Calibri"/>
          <w:noProof/>
        </w:rPr>
        <w:lastRenderedPageBreak/>
        <mc:AlternateContent>
          <mc:Choice Requires="wpg">
            <w:drawing>
              <wp:inline distT="0" distB="0" distL="0" distR="0" wp14:anchorId="29D4A1B4" wp14:editId="5D4C3D7F">
                <wp:extent cx="6894576" cy="56388"/>
                <wp:effectExtent l="0" t="0" r="0" b="0"/>
                <wp:docPr id="2063" name="Group 2063"/>
                <wp:cNvGraphicFramePr/>
                <a:graphic xmlns:a="http://schemas.openxmlformats.org/drawingml/2006/main">
                  <a:graphicData uri="http://schemas.microsoft.com/office/word/2010/wordprocessingGroup">
                    <wpg:wgp>
                      <wpg:cNvGrpSpPr/>
                      <wpg:grpSpPr>
                        <a:xfrm>
                          <a:off x="0" y="0"/>
                          <a:ext cx="6894576" cy="56388"/>
                          <a:chOff x="0" y="0"/>
                          <a:chExt cx="6894576" cy="56388"/>
                        </a:xfrm>
                      </wpg:grpSpPr>
                      <wps:wsp>
                        <wps:cNvPr id="2280" name="Shape 2280"/>
                        <wps:cNvSpPr/>
                        <wps:spPr>
                          <a:xfrm>
                            <a:off x="0" y="0"/>
                            <a:ext cx="6894576" cy="38100"/>
                          </a:xfrm>
                          <a:custGeom>
                            <a:avLst/>
                            <a:gdLst/>
                            <a:ahLst/>
                            <a:cxnLst/>
                            <a:rect l="0" t="0" r="0" b="0"/>
                            <a:pathLst>
                              <a:path w="6894576" h="38100">
                                <a:moveTo>
                                  <a:pt x="0" y="0"/>
                                </a:moveTo>
                                <a:lnTo>
                                  <a:pt x="6894576" y="0"/>
                                </a:lnTo>
                                <a:lnTo>
                                  <a:pt x="6894576"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2281" name="Shape 2281"/>
                        <wps:cNvSpPr/>
                        <wps:spPr>
                          <a:xfrm>
                            <a:off x="0" y="47244"/>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inline>
            </w:drawing>
          </mc:Choice>
          <mc:Fallback>
            <w:pict>
              <v:group w14:anchorId="0DA63819" id="Group 2063" o:spid="_x0000_s1026" style="width:542.9pt;height:4.45pt;mso-position-horizontal-relative:char;mso-position-vertical-relative:line" coordsize="6894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">
                <v:shape id="Shape 2280" o:spid="_x0000_s1027" style="position:absolute;width:68945;height:381;visibility:visible;mso-wrap-style:square;v-text-anchor:top" coordsize="68945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" path="m,l6894576,r,38100l,38100,,e" fillcolor="#612322" stroked="f" strokeweight="0">
                  <v:stroke miterlimit="83231f" joinstyle="miter"/>
                  <v:path arrowok="t" textboxrect="0,0,6894576,38100"/>
                </v:shape>
                <v:shape id="Shape 2281" o:spid="_x0000_s1028" style="position:absolute;top:472;width:68945;height:91;visibility:visible;mso-wrap-style:square;v-text-anchor:top" coordsize="6894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" path="m,l6894576,r,9144l,9144,,e" fillcolor="#612322" stroked="f" strokeweight="0">
                  <v:stroke miterlimit="83231f" joinstyle="miter"/>
                  <v:path arrowok="t" textboxrect="0,0,6894576,9144"/>
                </v:shape>
                <w10:anchorlock/>
              </v:group>
            </w:pict>
          </mc:Fallback>
        </mc:AlternateContent>
      </w:r>
    </w:p>
    <w:p w14:paraId="0255BABB" w14:textId="77777777" w:rsidR="00945870" w:rsidRDefault="00FB32F9">
      <w:pPr>
        <w:tabs>
          <w:tab w:val="right" w:pos="10798"/>
        </w:tabs>
        <w:spacing w:after="3" w:line="259" w:lineRule="auto"/>
        <w:ind w:left="-15" w:right="-15" w:firstLine="0"/>
      </w:pPr>
      <w:r>
        <w:rPr>
          <w:sz w:val="20"/>
        </w:rPr>
        <w:t xml:space="preserve"> </w:t>
      </w:r>
      <w:r>
        <w:rPr>
          <w:rFonts w:ascii="Cambria" w:eastAsia="Cambria" w:hAnsi="Cambria" w:cs="Cambria"/>
          <w:sz w:val="20"/>
        </w:rPr>
        <w:t xml:space="preserve">Effective </w:t>
      </w:r>
      <w:r w:rsidR="00CE055B">
        <w:rPr>
          <w:rFonts w:ascii="Cambria" w:eastAsia="Cambria" w:hAnsi="Cambria" w:cs="Cambria"/>
          <w:sz w:val="20"/>
        </w:rPr>
        <w:t>February 1</w:t>
      </w:r>
      <w:r>
        <w:rPr>
          <w:rFonts w:ascii="Cambria" w:eastAsia="Cambria" w:hAnsi="Cambria" w:cs="Cambria"/>
          <w:sz w:val="20"/>
        </w:rPr>
        <w:t>, 20</w:t>
      </w:r>
      <w:r w:rsidR="00CE055B">
        <w:rPr>
          <w:rFonts w:ascii="Cambria" w:eastAsia="Cambria" w:hAnsi="Cambria" w:cs="Cambria"/>
          <w:sz w:val="20"/>
        </w:rPr>
        <w:t>23</w:t>
      </w:r>
      <w:r>
        <w:rPr>
          <w:rFonts w:ascii="Cambria" w:eastAsia="Cambria" w:hAnsi="Cambria" w:cs="Cambria"/>
          <w:sz w:val="20"/>
        </w:rPr>
        <w:t xml:space="preserve"> </w:t>
      </w:r>
      <w:r>
        <w:rPr>
          <w:rFonts w:ascii="Cambria" w:eastAsia="Cambria" w:hAnsi="Cambria" w:cs="Cambria"/>
          <w:sz w:val="20"/>
        </w:rPr>
        <w:tab/>
        <w:t xml:space="preserve">Page 2 </w:t>
      </w:r>
    </w:p>
    <w:sectPr w:rsidR="00945870">
      <w:pgSz w:w="12240" w:h="15840"/>
      <w:pgMar w:top="409" w:right="722" w:bottom="70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41C36"/>
    <w:multiLevelType w:val="hybridMultilevel"/>
    <w:tmpl w:val="0A7C7C60"/>
    <w:lvl w:ilvl="0" w:tplc="D06ECBCA">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EE9B8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8E205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9A4D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68CFC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B8A14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72C97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88B13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F4D5D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9716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870"/>
    <w:rsid w:val="00115DF3"/>
    <w:rsid w:val="001812E9"/>
    <w:rsid w:val="00945870"/>
    <w:rsid w:val="00B61C9E"/>
    <w:rsid w:val="00CE055B"/>
    <w:rsid w:val="00F51CA5"/>
    <w:rsid w:val="00FB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B188"/>
  <w15:docId w15:val="{73E59C86-BBD0-448E-A654-7AC06A39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93"/>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District Meal Policy</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Meal Policy</dc:title>
  <dc:subject/>
  <dc:creator>RCSD</dc:creator>
  <cp:keywords/>
  <cp:lastModifiedBy>Game, Linda</cp:lastModifiedBy>
  <cp:revision>2</cp:revision>
  <dcterms:created xsi:type="dcterms:W3CDTF">2023-08-29T17:19:00Z</dcterms:created>
  <dcterms:modified xsi:type="dcterms:W3CDTF">2023-08-29T17:19:00Z</dcterms:modified>
</cp:coreProperties>
</file>